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A7" w:rsidRDefault="00D709C2" w:rsidP="00E552A7">
      <w:pPr>
        <w:jc w:val="center"/>
        <w:rPr>
          <w:b/>
          <w:color w:val="00B050"/>
          <w:sz w:val="32"/>
          <w:szCs w:val="32"/>
        </w:rPr>
      </w:pPr>
      <w:r>
        <w:rPr>
          <w:noProof/>
          <w:lang w:eastAsia="en-GB"/>
        </w:rPr>
        <mc:AlternateContent>
          <mc:Choice Requires="wps">
            <w:drawing>
              <wp:anchor distT="36576" distB="36576" distL="36576" distR="36576" simplePos="0" relativeHeight="251674624" behindDoc="0" locked="0" layoutInCell="1" allowOverlap="1" wp14:anchorId="6D87B97E" wp14:editId="0AE3FBB5">
                <wp:simplePos x="0" y="0"/>
                <wp:positionH relativeFrom="column">
                  <wp:posOffset>-228600</wp:posOffset>
                </wp:positionH>
                <wp:positionV relativeFrom="paragraph">
                  <wp:posOffset>-566420</wp:posOffset>
                </wp:positionV>
                <wp:extent cx="0" cy="10294620"/>
                <wp:effectExtent l="95250" t="0" r="57150" b="495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4620"/>
                        </a:xfrm>
                        <a:prstGeom prst="straightConnector1">
                          <a:avLst/>
                        </a:prstGeom>
                        <a:noFill/>
                        <a:ln w="31750">
                          <a:solidFill>
                            <a:srgbClr val="00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8pt;margin-top:-44.6pt;width:0;height:810.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" strokecolor="#090" strokeweight="2.5pt">
                <v:stroke endarrow="block"/>
                <v:shadow color="#868686"/>
              </v:shape>
            </w:pict>
          </mc:Fallback>
        </mc:AlternateContent>
      </w:r>
      <w:r>
        <w:rPr>
          <w:b/>
          <w:noProof/>
          <w:lang w:eastAsia="en-GB"/>
        </w:rPr>
        <mc:AlternateContent>
          <mc:Choice Requires="wps">
            <w:drawing>
              <wp:anchor distT="36576" distB="36576" distL="36576" distR="36576" simplePos="0" relativeHeight="251671552" behindDoc="0" locked="0" layoutInCell="1" allowOverlap="1" wp14:anchorId="18B22DA0" wp14:editId="068D15BD">
                <wp:simplePos x="0" y="0"/>
                <wp:positionH relativeFrom="column">
                  <wp:posOffset>-228600</wp:posOffset>
                </wp:positionH>
                <wp:positionV relativeFrom="paragraph">
                  <wp:posOffset>-581660</wp:posOffset>
                </wp:positionV>
                <wp:extent cx="7123430" cy="14605"/>
                <wp:effectExtent l="0" t="95250" r="0" b="996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3430" cy="14605"/>
                        </a:xfrm>
                        <a:prstGeom prst="straightConnector1">
                          <a:avLst/>
                        </a:prstGeom>
                        <a:noFill/>
                        <a:ln w="31750">
                          <a:solidFill>
                            <a:srgbClr val="00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8pt;margin-top:-45.8pt;width:560.9pt;height:1.15pt;flip:y;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" strokecolor="#090" strokeweight="2.5pt">
                <v:stroke endarrow="block"/>
                <v:shadow color="#868686"/>
              </v:shape>
            </w:pict>
          </mc:Fallback>
        </mc:AlternateContent>
      </w:r>
      <w:r w:rsidR="00E552A7">
        <w:rPr>
          <w:b/>
          <w:noProof/>
          <w:lang w:eastAsia="en-GB"/>
        </w:rPr>
        <mc:AlternateContent>
          <mc:Choice Requires="wps">
            <w:drawing>
              <wp:anchor distT="36576" distB="36576" distL="36576" distR="36576" simplePos="0" relativeHeight="251670528" behindDoc="0" locked="0" layoutInCell="1" allowOverlap="1" wp14:anchorId="27CFB99D" wp14:editId="671091E7">
                <wp:simplePos x="0" y="0"/>
                <wp:positionH relativeFrom="column">
                  <wp:posOffset>-685800</wp:posOffset>
                </wp:positionH>
                <wp:positionV relativeFrom="paragraph">
                  <wp:posOffset>-673100</wp:posOffset>
                </wp:positionV>
                <wp:extent cx="0" cy="10294620"/>
                <wp:effectExtent l="95250" t="0" r="57150" b="495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4620"/>
                        </a:xfrm>
                        <a:prstGeom prst="straightConnector1">
                          <a:avLst/>
                        </a:prstGeom>
                        <a:noFill/>
                        <a:ln w="31750">
                          <a:solidFill>
                            <a:srgbClr val="0099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54pt;margin-top:-53pt;width:0;height:810.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" strokecolor="#090" strokeweight="2.5pt">
                <v:stroke endarrow="block"/>
                <v:shadow color="#868686"/>
              </v:shape>
            </w:pict>
          </mc:Fallback>
        </mc:AlternateContent>
      </w:r>
    </w:p>
    <w:p w:rsidR="007E7389" w:rsidRDefault="007E7389" w:rsidP="00E552A7">
      <w:pPr>
        <w:rPr>
          <w:b/>
          <w:color w:val="00B050"/>
          <w:sz w:val="32"/>
          <w:szCs w:val="32"/>
        </w:rPr>
      </w:pPr>
    </w:p>
    <w:p w:rsidR="00E552A7" w:rsidRPr="007E7389" w:rsidRDefault="00E552A7" w:rsidP="00E552A7">
      <w:pPr>
        <w:rPr>
          <w:b/>
          <w:color w:val="00B050"/>
        </w:rPr>
      </w:pPr>
      <w:r w:rsidRPr="007E7389">
        <w:rPr>
          <w:b/>
          <w:color w:val="00B050"/>
        </w:rPr>
        <w:t>Lothian Centre for Inclusive Living</w:t>
      </w:r>
    </w:p>
    <w:p w:rsidR="00E552A7" w:rsidRPr="007E7389" w:rsidRDefault="00E552A7" w:rsidP="00E552A7">
      <w:pPr>
        <w:rPr>
          <w:b/>
          <w:color w:val="00B050"/>
        </w:rPr>
      </w:pPr>
      <w:r w:rsidRPr="007E7389">
        <w:rPr>
          <w:b/>
          <w:color w:val="00B050"/>
        </w:rPr>
        <w:t>Pension Auto Enrolment</w:t>
      </w:r>
    </w:p>
    <w:p w:rsidR="00E552A7" w:rsidRPr="007E7389" w:rsidRDefault="00E552A7" w:rsidP="007E7389">
      <w:pPr>
        <w:jc w:val="center"/>
        <w:rPr>
          <w:b/>
          <w:color w:val="00B050"/>
          <w:sz w:val="32"/>
          <w:szCs w:val="32"/>
        </w:rPr>
      </w:pPr>
      <w:r w:rsidRPr="007E7389">
        <w:rPr>
          <w:b/>
          <w:color w:val="00B050"/>
          <w:sz w:val="32"/>
          <w:szCs w:val="32"/>
        </w:rPr>
        <w:t>Choos</w:t>
      </w:r>
      <w:r w:rsidR="007E7389">
        <w:rPr>
          <w:b/>
          <w:color w:val="00B050"/>
          <w:sz w:val="32"/>
          <w:szCs w:val="32"/>
        </w:rPr>
        <w:t>e</w:t>
      </w:r>
      <w:r w:rsidRPr="007E7389">
        <w:rPr>
          <w:b/>
          <w:color w:val="00B050"/>
          <w:sz w:val="32"/>
          <w:szCs w:val="32"/>
        </w:rPr>
        <w:t xml:space="preserve"> a Pension Provid</w:t>
      </w:r>
      <w:r w:rsidRPr="007E7389">
        <w:rPr>
          <w:b/>
          <w:color w:val="00B050"/>
          <w:sz w:val="32"/>
          <w:szCs w:val="32"/>
        </w:rPr>
        <w:t>er</w:t>
      </w:r>
    </w:p>
    <w:p w:rsidR="00E552A7" w:rsidRDefault="007E7389" w:rsidP="007E7389">
      <w:pPr>
        <w:tabs>
          <w:tab w:val="left" w:pos="3696"/>
        </w:tabs>
      </w:pPr>
      <w:r>
        <w:tab/>
      </w:r>
    </w:p>
    <w:p w:rsidR="00E552A7" w:rsidRDefault="00E552A7" w:rsidP="00E552A7">
      <w:r w:rsidRPr="00307F2B">
        <w:t xml:space="preserve">LCIL has identified a small number of pension companies willing to provide </w:t>
      </w:r>
      <w:r>
        <w:t>a pension scheme to PA emplo</w:t>
      </w:r>
      <w:r w:rsidRPr="00307F2B">
        <w:t>yers</w:t>
      </w:r>
      <w:r>
        <w:t>.  The table below gives some of their details but this list is not exhaustive.</w:t>
      </w:r>
      <w:bookmarkStart w:id="0" w:name="_GoBack"/>
      <w:bookmarkEnd w:id="0"/>
    </w:p>
    <w:p w:rsidR="00E552A7" w:rsidRDefault="00E552A7" w:rsidP="00E552A7">
      <w:pPr>
        <w:ind w:left="1440"/>
      </w:pPr>
    </w:p>
    <w:p w:rsidR="00E552A7" w:rsidRDefault="00E552A7" w:rsidP="00E552A7">
      <w:r>
        <w:t>You can choose any pension provider but LCIL’s payroll service will only be able to provide full support by working with the two companies highlighted in colour in the table below.</w:t>
      </w:r>
    </w:p>
    <w:p w:rsidR="00E552A7" w:rsidRPr="00307F2B" w:rsidRDefault="00E552A7" w:rsidP="00E552A7">
      <w:pPr>
        <w:ind w:left="1440"/>
      </w:pPr>
    </w:p>
    <w:tbl>
      <w:tblPr>
        <w:tblW w:w="10556" w:type="dxa"/>
        <w:tblInd w:w="93" w:type="dxa"/>
        <w:tblLook w:val="04A0" w:firstRow="1" w:lastRow="0" w:firstColumn="1" w:lastColumn="0" w:noHBand="0" w:noVBand="1"/>
      </w:tblPr>
      <w:tblGrid>
        <w:gridCol w:w="2104"/>
        <w:gridCol w:w="2181"/>
        <w:gridCol w:w="2045"/>
        <w:gridCol w:w="2045"/>
        <w:gridCol w:w="2181"/>
      </w:tblGrid>
      <w:tr w:rsidR="007E7389" w:rsidRPr="007E7389" w:rsidTr="007E7389">
        <w:trPr>
          <w:trHeight w:val="363"/>
        </w:trPr>
        <w:tc>
          <w:tcPr>
            <w:tcW w:w="2104" w:type="dxa"/>
            <w:tcBorders>
              <w:top w:val="single" w:sz="4" w:space="0" w:color="auto"/>
              <w:left w:val="single" w:sz="4" w:space="0" w:color="auto"/>
              <w:bottom w:val="single" w:sz="4" w:space="0" w:color="auto"/>
              <w:right w:val="single" w:sz="4" w:space="0" w:color="auto"/>
            </w:tcBorders>
            <w:shd w:val="clear" w:color="auto" w:fill="auto"/>
            <w:noWrap/>
            <w:hideMark/>
          </w:tcPr>
          <w:p w:rsidR="00E552A7" w:rsidRPr="007E7389" w:rsidRDefault="00E552A7" w:rsidP="00F274EC">
            <w:pPr>
              <w:rPr>
                <w:rFonts w:eastAsia="Times New Roman"/>
                <w:b/>
                <w:bCs/>
                <w:color w:val="000000"/>
                <w:lang w:eastAsia="en-GB"/>
              </w:rPr>
            </w:pPr>
            <w:r w:rsidRPr="007E7389">
              <w:rPr>
                <w:rFonts w:eastAsia="Times New Roman"/>
                <w:b/>
                <w:bCs/>
                <w:color w:val="000000"/>
                <w:lang w:eastAsia="en-GB"/>
              </w:rPr>
              <w:t>Pension Provider</w:t>
            </w:r>
          </w:p>
        </w:tc>
        <w:tc>
          <w:tcPr>
            <w:tcW w:w="2181" w:type="dxa"/>
            <w:tcBorders>
              <w:top w:val="single" w:sz="4" w:space="0" w:color="auto"/>
              <w:left w:val="nil"/>
              <w:bottom w:val="single" w:sz="4" w:space="0" w:color="auto"/>
              <w:right w:val="single" w:sz="4" w:space="0" w:color="auto"/>
            </w:tcBorders>
            <w:shd w:val="clear" w:color="auto" w:fill="auto"/>
            <w:noWrap/>
            <w:hideMark/>
          </w:tcPr>
          <w:p w:rsidR="00E552A7" w:rsidRPr="007E7389" w:rsidRDefault="00E552A7" w:rsidP="00F274EC">
            <w:pPr>
              <w:rPr>
                <w:rFonts w:eastAsia="Times New Roman"/>
                <w:b/>
                <w:bCs/>
                <w:color w:val="000000"/>
                <w:lang w:eastAsia="en-GB"/>
              </w:rPr>
            </w:pPr>
            <w:r w:rsidRPr="007E7389">
              <w:rPr>
                <w:rFonts w:eastAsia="Times New Roman"/>
                <w:b/>
                <w:bCs/>
                <w:color w:val="000000"/>
                <w:lang w:eastAsia="en-GB"/>
              </w:rPr>
              <w:t>NEST</w:t>
            </w:r>
          </w:p>
        </w:tc>
        <w:tc>
          <w:tcPr>
            <w:tcW w:w="2045" w:type="dxa"/>
            <w:tcBorders>
              <w:top w:val="single" w:sz="4" w:space="0" w:color="auto"/>
              <w:left w:val="nil"/>
              <w:bottom w:val="single" w:sz="4" w:space="0" w:color="auto"/>
              <w:right w:val="single" w:sz="4" w:space="0" w:color="auto"/>
            </w:tcBorders>
            <w:shd w:val="clear" w:color="000000" w:fill="C4D79B"/>
            <w:noWrap/>
            <w:hideMark/>
          </w:tcPr>
          <w:p w:rsidR="00E552A7" w:rsidRPr="007E7389" w:rsidRDefault="00E552A7" w:rsidP="00F274EC">
            <w:pPr>
              <w:rPr>
                <w:rFonts w:eastAsia="Times New Roman"/>
                <w:b/>
                <w:bCs/>
                <w:color w:val="000000"/>
                <w:lang w:eastAsia="en-GB"/>
              </w:rPr>
            </w:pPr>
            <w:r w:rsidRPr="007E7389">
              <w:rPr>
                <w:rFonts w:eastAsia="Times New Roman"/>
                <w:b/>
                <w:bCs/>
                <w:color w:val="000000"/>
                <w:lang w:eastAsia="en-GB"/>
              </w:rPr>
              <w:t>NOW</w:t>
            </w:r>
          </w:p>
        </w:tc>
        <w:tc>
          <w:tcPr>
            <w:tcW w:w="2045" w:type="dxa"/>
            <w:tcBorders>
              <w:top w:val="single" w:sz="4" w:space="0" w:color="auto"/>
              <w:left w:val="nil"/>
              <w:bottom w:val="single" w:sz="4" w:space="0" w:color="auto"/>
              <w:right w:val="single" w:sz="4" w:space="0" w:color="auto"/>
            </w:tcBorders>
            <w:shd w:val="clear" w:color="auto" w:fill="auto"/>
            <w:noWrap/>
            <w:hideMark/>
          </w:tcPr>
          <w:p w:rsidR="00E552A7" w:rsidRPr="007E7389" w:rsidRDefault="00E552A7" w:rsidP="00F274EC">
            <w:pPr>
              <w:rPr>
                <w:rFonts w:eastAsia="Times New Roman"/>
                <w:b/>
                <w:bCs/>
                <w:color w:val="000000"/>
                <w:lang w:eastAsia="en-GB"/>
              </w:rPr>
            </w:pPr>
            <w:r w:rsidRPr="007E7389">
              <w:rPr>
                <w:rFonts w:eastAsia="Times New Roman"/>
                <w:b/>
                <w:bCs/>
                <w:color w:val="000000"/>
                <w:lang w:eastAsia="en-GB"/>
              </w:rPr>
              <w:t>People's Pension</w:t>
            </w:r>
          </w:p>
        </w:tc>
        <w:tc>
          <w:tcPr>
            <w:tcW w:w="2181" w:type="dxa"/>
            <w:tcBorders>
              <w:top w:val="single" w:sz="4" w:space="0" w:color="auto"/>
              <w:left w:val="nil"/>
              <w:bottom w:val="single" w:sz="4" w:space="0" w:color="auto"/>
              <w:right w:val="single" w:sz="4" w:space="0" w:color="auto"/>
            </w:tcBorders>
            <w:shd w:val="clear" w:color="000000" w:fill="C4D79B"/>
            <w:noWrap/>
            <w:hideMark/>
          </w:tcPr>
          <w:p w:rsidR="00E552A7" w:rsidRPr="007E7389" w:rsidRDefault="00E552A7" w:rsidP="00F274EC">
            <w:pPr>
              <w:rPr>
                <w:rFonts w:eastAsia="Times New Roman"/>
                <w:b/>
                <w:bCs/>
                <w:color w:val="000000"/>
                <w:lang w:eastAsia="en-GB"/>
              </w:rPr>
            </w:pPr>
            <w:proofErr w:type="spellStart"/>
            <w:r w:rsidRPr="007E7389">
              <w:rPr>
                <w:rFonts w:eastAsia="Times New Roman"/>
                <w:b/>
                <w:bCs/>
                <w:color w:val="000000"/>
                <w:lang w:eastAsia="en-GB"/>
              </w:rPr>
              <w:t>GenLife</w:t>
            </w:r>
            <w:proofErr w:type="spellEnd"/>
          </w:p>
        </w:tc>
      </w:tr>
      <w:tr w:rsidR="007E7389" w:rsidRPr="007E7389" w:rsidTr="007E7389">
        <w:trPr>
          <w:trHeight w:val="363"/>
        </w:trPr>
        <w:tc>
          <w:tcPr>
            <w:tcW w:w="2104" w:type="dxa"/>
            <w:tcBorders>
              <w:top w:val="single" w:sz="4" w:space="0" w:color="auto"/>
              <w:left w:val="single" w:sz="4" w:space="0" w:color="auto"/>
              <w:bottom w:val="single" w:sz="4" w:space="0" w:color="auto"/>
              <w:right w:val="single" w:sz="4" w:space="0" w:color="auto"/>
            </w:tcBorders>
            <w:shd w:val="clear" w:color="auto" w:fill="auto"/>
            <w:noWrap/>
          </w:tcPr>
          <w:p w:rsidR="00E552A7" w:rsidRPr="007E7389" w:rsidRDefault="00E552A7" w:rsidP="00F274EC">
            <w:pPr>
              <w:rPr>
                <w:b/>
                <w:bCs/>
                <w:color w:val="000000"/>
              </w:rPr>
            </w:pPr>
            <w:r w:rsidRPr="007E7389">
              <w:rPr>
                <w:b/>
                <w:bCs/>
                <w:color w:val="000000"/>
              </w:rPr>
              <w:t>Pension Provider Admin Charges</w:t>
            </w:r>
          </w:p>
          <w:p w:rsidR="00E552A7" w:rsidRPr="007E7389" w:rsidRDefault="00E552A7" w:rsidP="00F274EC">
            <w:pPr>
              <w:rPr>
                <w:b/>
                <w:bCs/>
                <w:color w:val="000000"/>
              </w:rPr>
            </w:pPr>
            <w:r w:rsidRPr="007E7389">
              <w:rPr>
                <w:b/>
                <w:bCs/>
                <w:color w:val="000000"/>
              </w:rPr>
              <w:t xml:space="preserve">(paid by employee)  </w:t>
            </w:r>
          </w:p>
        </w:tc>
        <w:tc>
          <w:tcPr>
            <w:tcW w:w="2181" w:type="dxa"/>
            <w:tcBorders>
              <w:top w:val="single" w:sz="4" w:space="0" w:color="auto"/>
              <w:left w:val="nil"/>
              <w:bottom w:val="single" w:sz="4" w:space="0" w:color="auto"/>
              <w:right w:val="single" w:sz="4" w:space="0" w:color="auto"/>
            </w:tcBorders>
            <w:shd w:val="clear" w:color="auto" w:fill="auto"/>
            <w:noWrap/>
          </w:tcPr>
          <w:p w:rsidR="00E552A7" w:rsidRPr="007E7389" w:rsidRDefault="00E552A7" w:rsidP="00F274EC">
            <w:pPr>
              <w:rPr>
                <w:color w:val="000000"/>
              </w:rPr>
            </w:pPr>
            <w:r w:rsidRPr="007E7389">
              <w:rPr>
                <w:color w:val="000000"/>
              </w:rPr>
              <w:t>1.8% on each new contribution from each employee</w:t>
            </w:r>
          </w:p>
        </w:tc>
        <w:tc>
          <w:tcPr>
            <w:tcW w:w="2045" w:type="dxa"/>
            <w:tcBorders>
              <w:top w:val="single" w:sz="4" w:space="0" w:color="auto"/>
              <w:left w:val="nil"/>
              <w:bottom w:val="single" w:sz="4" w:space="0" w:color="auto"/>
              <w:right w:val="single" w:sz="4" w:space="0" w:color="auto"/>
            </w:tcBorders>
            <w:shd w:val="clear" w:color="000000" w:fill="C4D79B"/>
            <w:noWrap/>
          </w:tcPr>
          <w:p w:rsidR="00E552A7" w:rsidRPr="007E7389" w:rsidRDefault="00E552A7" w:rsidP="00F274EC">
            <w:pPr>
              <w:rPr>
                <w:color w:val="000000"/>
              </w:rPr>
            </w:pPr>
            <w:r w:rsidRPr="007E7389">
              <w:rPr>
                <w:color w:val="000000"/>
              </w:rPr>
              <w:t>£0.30 - £1.50 per month for each employee depending on earnings &amp; contribution level</w:t>
            </w:r>
          </w:p>
        </w:tc>
        <w:tc>
          <w:tcPr>
            <w:tcW w:w="2045" w:type="dxa"/>
            <w:tcBorders>
              <w:top w:val="single" w:sz="4" w:space="0" w:color="auto"/>
              <w:left w:val="nil"/>
              <w:bottom w:val="single" w:sz="4" w:space="0" w:color="auto"/>
              <w:right w:val="single" w:sz="4" w:space="0" w:color="auto"/>
            </w:tcBorders>
            <w:shd w:val="clear" w:color="auto" w:fill="auto"/>
            <w:noWrap/>
          </w:tcPr>
          <w:p w:rsidR="00E552A7" w:rsidRPr="007E7389" w:rsidRDefault="00E552A7" w:rsidP="00F274EC">
            <w:pPr>
              <w:rPr>
                <w:color w:val="000000"/>
              </w:rPr>
            </w:pPr>
            <w:r w:rsidRPr="007E7389">
              <w:rPr>
                <w:color w:val="000000"/>
              </w:rPr>
              <w:t>N/A</w:t>
            </w:r>
          </w:p>
        </w:tc>
        <w:tc>
          <w:tcPr>
            <w:tcW w:w="2181" w:type="dxa"/>
            <w:tcBorders>
              <w:top w:val="single" w:sz="4" w:space="0" w:color="auto"/>
              <w:left w:val="nil"/>
              <w:bottom w:val="single" w:sz="4" w:space="0" w:color="auto"/>
              <w:right w:val="single" w:sz="4" w:space="0" w:color="auto"/>
            </w:tcBorders>
            <w:shd w:val="clear" w:color="000000" w:fill="C4D79B"/>
            <w:noWrap/>
          </w:tcPr>
          <w:p w:rsidR="00E552A7" w:rsidRPr="007E7389" w:rsidRDefault="00E552A7" w:rsidP="00F274EC">
            <w:pPr>
              <w:rPr>
                <w:color w:val="000000"/>
              </w:rPr>
            </w:pPr>
            <w:r w:rsidRPr="007E7389">
              <w:rPr>
                <w:color w:val="000000"/>
              </w:rPr>
              <w:t>£1.50 per month per member deducted from wages in addition to pension contributions</w:t>
            </w:r>
          </w:p>
        </w:tc>
      </w:tr>
      <w:tr w:rsidR="007E7389" w:rsidRPr="007E7389" w:rsidTr="007E7389">
        <w:trPr>
          <w:trHeight w:val="363"/>
        </w:trPr>
        <w:tc>
          <w:tcPr>
            <w:tcW w:w="2104" w:type="dxa"/>
            <w:tcBorders>
              <w:top w:val="single" w:sz="4" w:space="0" w:color="auto"/>
              <w:left w:val="single" w:sz="4" w:space="0" w:color="auto"/>
              <w:bottom w:val="single" w:sz="4" w:space="0" w:color="auto"/>
              <w:right w:val="single" w:sz="4" w:space="0" w:color="auto"/>
            </w:tcBorders>
            <w:shd w:val="clear" w:color="auto" w:fill="auto"/>
            <w:noWrap/>
          </w:tcPr>
          <w:p w:rsidR="00E552A7" w:rsidRPr="007E7389" w:rsidRDefault="00E552A7" w:rsidP="00F274EC">
            <w:pPr>
              <w:rPr>
                <w:b/>
                <w:color w:val="000000"/>
              </w:rPr>
            </w:pPr>
            <w:r w:rsidRPr="007E7389">
              <w:rPr>
                <w:b/>
                <w:color w:val="000000"/>
              </w:rPr>
              <w:t>Pension Provider Annual charge</w:t>
            </w:r>
          </w:p>
          <w:p w:rsidR="00E552A7" w:rsidRPr="007E7389" w:rsidRDefault="00E552A7" w:rsidP="00F274EC">
            <w:pPr>
              <w:rPr>
                <w:b/>
                <w:color w:val="000000"/>
              </w:rPr>
            </w:pPr>
            <w:r w:rsidRPr="007E7389">
              <w:rPr>
                <w:b/>
                <w:color w:val="000000"/>
              </w:rPr>
              <w:t>(paid by employee)</w:t>
            </w:r>
          </w:p>
        </w:tc>
        <w:tc>
          <w:tcPr>
            <w:tcW w:w="2181" w:type="dxa"/>
            <w:tcBorders>
              <w:top w:val="single" w:sz="4" w:space="0" w:color="auto"/>
              <w:left w:val="nil"/>
              <w:bottom w:val="single" w:sz="4" w:space="0" w:color="auto"/>
              <w:right w:val="single" w:sz="4" w:space="0" w:color="auto"/>
            </w:tcBorders>
            <w:shd w:val="clear" w:color="auto" w:fill="auto"/>
            <w:noWrap/>
          </w:tcPr>
          <w:p w:rsidR="007E7389" w:rsidRDefault="00E552A7" w:rsidP="00F274EC">
            <w:pPr>
              <w:rPr>
                <w:color w:val="000000"/>
              </w:rPr>
            </w:pPr>
            <w:r w:rsidRPr="007E7389">
              <w:rPr>
                <w:color w:val="000000"/>
              </w:rPr>
              <w:t xml:space="preserve">0.3% </w:t>
            </w:r>
          </w:p>
          <w:p w:rsidR="00E552A7" w:rsidRPr="007E7389" w:rsidRDefault="00E552A7" w:rsidP="00F274EC">
            <w:pPr>
              <w:rPr>
                <w:color w:val="000000"/>
              </w:rPr>
            </w:pPr>
            <w:r w:rsidRPr="007E7389">
              <w:rPr>
                <w:color w:val="000000"/>
              </w:rPr>
              <w:t>% annual charge of employee pension pot</w:t>
            </w:r>
          </w:p>
        </w:tc>
        <w:tc>
          <w:tcPr>
            <w:tcW w:w="2045" w:type="dxa"/>
            <w:tcBorders>
              <w:top w:val="single" w:sz="4" w:space="0" w:color="auto"/>
              <w:left w:val="nil"/>
              <w:bottom w:val="single" w:sz="4" w:space="0" w:color="auto"/>
              <w:right w:val="single" w:sz="4" w:space="0" w:color="auto"/>
            </w:tcBorders>
            <w:shd w:val="clear" w:color="000000" w:fill="C4D79B"/>
            <w:noWrap/>
          </w:tcPr>
          <w:p w:rsidR="007E7389" w:rsidRDefault="00E552A7" w:rsidP="00F274EC">
            <w:pPr>
              <w:rPr>
                <w:color w:val="000000"/>
              </w:rPr>
            </w:pPr>
            <w:r w:rsidRPr="007E7389">
              <w:rPr>
                <w:color w:val="000000"/>
              </w:rPr>
              <w:t xml:space="preserve">0.3% </w:t>
            </w:r>
          </w:p>
          <w:p w:rsidR="00E552A7" w:rsidRPr="007E7389" w:rsidRDefault="00E552A7" w:rsidP="00F274EC">
            <w:pPr>
              <w:rPr>
                <w:color w:val="000000"/>
              </w:rPr>
            </w:pPr>
            <w:r w:rsidRPr="007E7389">
              <w:rPr>
                <w:color w:val="000000"/>
              </w:rPr>
              <w:t>% annual charge of employee pension pot</w:t>
            </w:r>
          </w:p>
        </w:tc>
        <w:tc>
          <w:tcPr>
            <w:tcW w:w="2045" w:type="dxa"/>
            <w:tcBorders>
              <w:top w:val="single" w:sz="4" w:space="0" w:color="auto"/>
              <w:left w:val="nil"/>
              <w:bottom w:val="single" w:sz="4" w:space="0" w:color="auto"/>
              <w:right w:val="single" w:sz="4" w:space="0" w:color="auto"/>
            </w:tcBorders>
            <w:shd w:val="clear" w:color="auto" w:fill="auto"/>
            <w:noWrap/>
          </w:tcPr>
          <w:p w:rsidR="007E7389" w:rsidRDefault="00E552A7" w:rsidP="00F274EC">
            <w:pPr>
              <w:rPr>
                <w:color w:val="000000"/>
              </w:rPr>
            </w:pPr>
            <w:r w:rsidRPr="007E7389">
              <w:rPr>
                <w:color w:val="000000"/>
              </w:rPr>
              <w:t xml:space="preserve">0.5% </w:t>
            </w:r>
          </w:p>
          <w:p w:rsidR="00E552A7" w:rsidRPr="007E7389" w:rsidRDefault="00E552A7" w:rsidP="00F274EC">
            <w:pPr>
              <w:rPr>
                <w:color w:val="000000"/>
              </w:rPr>
            </w:pPr>
            <w:r w:rsidRPr="007E7389">
              <w:rPr>
                <w:color w:val="000000"/>
              </w:rPr>
              <w:t>% annual charge of employee pension pot</w:t>
            </w:r>
          </w:p>
        </w:tc>
        <w:tc>
          <w:tcPr>
            <w:tcW w:w="2181" w:type="dxa"/>
            <w:tcBorders>
              <w:top w:val="single" w:sz="4" w:space="0" w:color="auto"/>
              <w:left w:val="nil"/>
              <w:bottom w:val="single" w:sz="4" w:space="0" w:color="auto"/>
              <w:right w:val="single" w:sz="4" w:space="0" w:color="auto"/>
            </w:tcBorders>
            <w:shd w:val="clear" w:color="000000" w:fill="C4D79B"/>
            <w:noWrap/>
          </w:tcPr>
          <w:p w:rsidR="00E552A7" w:rsidRPr="007E7389" w:rsidRDefault="00E552A7" w:rsidP="00F274EC">
            <w:pPr>
              <w:rPr>
                <w:color w:val="000000"/>
              </w:rPr>
            </w:pPr>
            <w:r w:rsidRPr="007E7389">
              <w:rPr>
                <w:color w:val="000000"/>
              </w:rPr>
              <w:t>0.3% annual charge of employee pension pot</w:t>
            </w:r>
          </w:p>
        </w:tc>
      </w:tr>
      <w:tr w:rsidR="007E7389" w:rsidRPr="007E7389" w:rsidTr="007E7389">
        <w:trPr>
          <w:trHeight w:val="1826"/>
        </w:trPr>
        <w:tc>
          <w:tcPr>
            <w:tcW w:w="2104" w:type="dxa"/>
            <w:tcBorders>
              <w:top w:val="single" w:sz="4" w:space="0" w:color="auto"/>
              <w:left w:val="single" w:sz="4" w:space="0" w:color="auto"/>
              <w:right w:val="single" w:sz="4" w:space="0" w:color="auto"/>
            </w:tcBorders>
            <w:shd w:val="clear" w:color="auto" w:fill="auto"/>
            <w:noWrap/>
          </w:tcPr>
          <w:p w:rsidR="00E552A7" w:rsidRPr="007E7389" w:rsidRDefault="00E552A7" w:rsidP="00F274EC">
            <w:pPr>
              <w:rPr>
                <w:b/>
                <w:bCs/>
                <w:color w:val="000000"/>
              </w:rPr>
            </w:pPr>
            <w:r w:rsidRPr="007E7389">
              <w:rPr>
                <w:b/>
                <w:bCs/>
                <w:color w:val="000000"/>
              </w:rPr>
              <w:t xml:space="preserve">How you can pay pension provider the employer and employee contributions </w:t>
            </w:r>
          </w:p>
        </w:tc>
        <w:tc>
          <w:tcPr>
            <w:tcW w:w="2181" w:type="dxa"/>
            <w:tcBorders>
              <w:top w:val="single" w:sz="4" w:space="0" w:color="auto"/>
              <w:left w:val="nil"/>
              <w:right w:val="single" w:sz="4" w:space="0" w:color="auto"/>
            </w:tcBorders>
            <w:shd w:val="clear" w:color="auto" w:fill="auto"/>
            <w:noWrap/>
          </w:tcPr>
          <w:p w:rsidR="00E552A7" w:rsidRPr="007E7389" w:rsidRDefault="00E552A7" w:rsidP="00F274EC">
            <w:pPr>
              <w:rPr>
                <w:color w:val="000000"/>
              </w:rPr>
            </w:pPr>
            <w:r w:rsidRPr="007E7389">
              <w:rPr>
                <w:color w:val="000000"/>
              </w:rPr>
              <w:t>Direct Debit</w:t>
            </w:r>
          </w:p>
          <w:p w:rsidR="00E552A7" w:rsidRPr="007E7389" w:rsidRDefault="00E552A7" w:rsidP="00F274EC">
            <w:pPr>
              <w:rPr>
                <w:color w:val="000000"/>
              </w:rPr>
            </w:pPr>
            <w:r w:rsidRPr="007E7389">
              <w:rPr>
                <w:color w:val="000000"/>
              </w:rPr>
              <w:t>on-line debit card</w:t>
            </w:r>
          </w:p>
        </w:tc>
        <w:tc>
          <w:tcPr>
            <w:tcW w:w="2045" w:type="dxa"/>
            <w:tcBorders>
              <w:top w:val="single" w:sz="4" w:space="0" w:color="auto"/>
              <w:left w:val="nil"/>
              <w:right w:val="single" w:sz="4" w:space="0" w:color="auto"/>
            </w:tcBorders>
            <w:shd w:val="clear" w:color="000000" w:fill="C4D79B"/>
            <w:noWrap/>
          </w:tcPr>
          <w:p w:rsidR="00E552A7" w:rsidRPr="007E7389" w:rsidRDefault="00E552A7" w:rsidP="00F274EC">
            <w:pPr>
              <w:rPr>
                <w:color w:val="000000"/>
              </w:rPr>
            </w:pPr>
            <w:r w:rsidRPr="007E7389">
              <w:rPr>
                <w:color w:val="000000"/>
              </w:rPr>
              <w:t>Direct Debit only **</w:t>
            </w:r>
          </w:p>
        </w:tc>
        <w:tc>
          <w:tcPr>
            <w:tcW w:w="2045" w:type="dxa"/>
            <w:tcBorders>
              <w:top w:val="single" w:sz="4" w:space="0" w:color="auto"/>
              <w:left w:val="nil"/>
              <w:right w:val="single" w:sz="4" w:space="0" w:color="auto"/>
            </w:tcBorders>
            <w:shd w:val="clear" w:color="auto" w:fill="auto"/>
            <w:noWrap/>
          </w:tcPr>
          <w:p w:rsidR="00E552A7" w:rsidRPr="007E7389" w:rsidRDefault="00E552A7" w:rsidP="00F274EC">
            <w:pPr>
              <w:rPr>
                <w:color w:val="000000"/>
              </w:rPr>
            </w:pPr>
            <w:r w:rsidRPr="007E7389">
              <w:rPr>
                <w:color w:val="000000"/>
              </w:rPr>
              <w:t>Direct Debit **</w:t>
            </w:r>
          </w:p>
        </w:tc>
        <w:tc>
          <w:tcPr>
            <w:tcW w:w="2181" w:type="dxa"/>
            <w:tcBorders>
              <w:top w:val="single" w:sz="4" w:space="0" w:color="auto"/>
              <w:left w:val="nil"/>
              <w:right w:val="single" w:sz="4" w:space="0" w:color="auto"/>
            </w:tcBorders>
            <w:shd w:val="clear" w:color="000000" w:fill="C4D79B"/>
            <w:noWrap/>
          </w:tcPr>
          <w:p w:rsidR="00E552A7" w:rsidRPr="007E7389" w:rsidRDefault="00E552A7" w:rsidP="00F274EC">
            <w:pPr>
              <w:rPr>
                <w:color w:val="000000"/>
              </w:rPr>
            </w:pPr>
            <w:r w:rsidRPr="007E7389">
              <w:rPr>
                <w:color w:val="000000"/>
              </w:rPr>
              <w:t>Direct Debit</w:t>
            </w:r>
          </w:p>
          <w:p w:rsidR="00E552A7" w:rsidRPr="007E7389" w:rsidRDefault="00E552A7" w:rsidP="00F274EC">
            <w:pPr>
              <w:rPr>
                <w:color w:val="000000"/>
              </w:rPr>
            </w:pPr>
            <w:r w:rsidRPr="007E7389">
              <w:rPr>
                <w:color w:val="000000"/>
              </w:rPr>
              <w:t>Telephone banking</w:t>
            </w:r>
          </w:p>
          <w:p w:rsidR="00E552A7" w:rsidRPr="007E7389" w:rsidRDefault="00E552A7" w:rsidP="00F274EC">
            <w:pPr>
              <w:rPr>
                <w:color w:val="000000"/>
              </w:rPr>
            </w:pPr>
            <w:r w:rsidRPr="007E7389">
              <w:rPr>
                <w:color w:val="000000"/>
              </w:rPr>
              <w:t>Internet banking</w:t>
            </w:r>
          </w:p>
        </w:tc>
      </w:tr>
      <w:tr w:rsidR="007E7389" w:rsidRPr="007E7389" w:rsidTr="007E7389">
        <w:trPr>
          <w:trHeight w:val="1551"/>
        </w:trPr>
        <w:tc>
          <w:tcPr>
            <w:tcW w:w="2104" w:type="dxa"/>
            <w:tcBorders>
              <w:top w:val="single" w:sz="4" w:space="0" w:color="auto"/>
              <w:left w:val="single" w:sz="4" w:space="0" w:color="auto"/>
              <w:bottom w:val="single" w:sz="4" w:space="0" w:color="auto"/>
              <w:right w:val="single" w:sz="4" w:space="0" w:color="auto"/>
            </w:tcBorders>
            <w:shd w:val="clear" w:color="auto" w:fill="auto"/>
            <w:noWrap/>
          </w:tcPr>
          <w:p w:rsidR="00E552A7" w:rsidRPr="007E7389" w:rsidRDefault="00E552A7" w:rsidP="00F274EC">
            <w:pPr>
              <w:rPr>
                <w:b/>
                <w:bCs/>
                <w:color w:val="000000"/>
              </w:rPr>
            </w:pPr>
            <w:r w:rsidRPr="007E7389">
              <w:rPr>
                <w:b/>
                <w:bCs/>
                <w:color w:val="000000"/>
              </w:rPr>
              <w:t>Investment funds offered by pension provider</w:t>
            </w:r>
          </w:p>
        </w:tc>
        <w:tc>
          <w:tcPr>
            <w:tcW w:w="2181" w:type="dxa"/>
            <w:tcBorders>
              <w:top w:val="single" w:sz="4" w:space="0" w:color="auto"/>
              <w:left w:val="nil"/>
              <w:bottom w:val="single" w:sz="4" w:space="0" w:color="auto"/>
              <w:right w:val="single" w:sz="4" w:space="0" w:color="auto"/>
            </w:tcBorders>
            <w:shd w:val="clear" w:color="auto" w:fill="auto"/>
            <w:noWrap/>
          </w:tcPr>
          <w:p w:rsidR="00E552A7" w:rsidRPr="007E7389" w:rsidRDefault="00E552A7" w:rsidP="00F274EC">
            <w:pPr>
              <w:rPr>
                <w:color w:val="000000"/>
              </w:rPr>
            </w:pPr>
            <w:r w:rsidRPr="007E7389">
              <w:rPr>
                <w:color w:val="000000"/>
              </w:rPr>
              <w:t xml:space="preserve">Members can choose -Retirement Date Funds, Ethical Fund, </w:t>
            </w:r>
            <w:r w:rsidRPr="007E7389">
              <w:rPr>
                <w:color w:val="000000"/>
              </w:rPr>
              <w:lastRenderedPageBreak/>
              <w:t>Sharia Fund, Higher Risk, Lower Growth, pre-retirement fund</w:t>
            </w:r>
          </w:p>
        </w:tc>
        <w:tc>
          <w:tcPr>
            <w:tcW w:w="2045" w:type="dxa"/>
            <w:tcBorders>
              <w:top w:val="single" w:sz="4" w:space="0" w:color="auto"/>
              <w:left w:val="nil"/>
              <w:bottom w:val="single" w:sz="4" w:space="0" w:color="auto"/>
              <w:right w:val="single" w:sz="4" w:space="0" w:color="auto"/>
            </w:tcBorders>
            <w:shd w:val="clear" w:color="000000" w:fill="C4D79B"/>
            <w:noWrap/>
          </w:tcPr>
          <w:p w:rsidR="00E552A7" w:rsidRPr="007E7389" w:rsidRDefault="00E552A7" w:rsidP="00F274EC">
            <w:pPr>
              <w:rPr>
                <w:color w:val="000000"/>
              </w:rPr>
            </w:pPr>
            <w:r w:rsidRPr="007E7389">
              <w:rPr>
                <w:color w:val="000000"/>
              </w:rPr>
              <w:lastRenderedPageBreak/>
              <w:t xml:space="preserve">One low risk investment fund only </w:t>
            </w:r>
          </w:p>
        </w:tc>
        <w:tc>
          <w:tcPr>
            <w:tcW w:w="2045" w:type="dxa"/>
            <w:tcBorders>
              <w:top w:val="single" w:sz="4" w:space="0" w:color="auto"/>
              <w:left w:val="nil"/>
              <w:bottom w:val="single" w:sz="4" w:space="0" w:color="auto"/>
              <w:right w:val="single" w:sz="4" w:space="0" w:color="auto"/>
            </w:tcBorders>
            <w:shd w:val="clear" w:color="auto" w:fill="auto"/>
            <w:noWrap/>
          </w:tcPr>
          <w:p w:rsidR="00E552A7" w:rsidRPr="007E7389" w:rsidRDefault="00E552A7" w:rsidP="00F274EC">
            <w:pPr>
              <w:rPr>
                <w:color w:val="000000"/>
              </w:rPr>
            </w:pPr>
            <w:r w:rsidRPr="007E7389">
              <w:rPr>
                <w:color w:val="000000"/>
              </w:rPr>
              <w:t xml:space="preserve">Members can choose from  7 funds including ethical &amp; </w:t>
            </w:r>
            <w:r w:rsidRPr="007E7389">
              <w:rPr>
                <w:color w:val="000000"/>
              </w:rPr>
              <w:lastRenderedPageBreak/>
              <w:t>Sharia</w:t>
            </w:r>
          </w:p>
        </w:tc>
        <w:tc>
          <w:tcPr>
            <w:tcW w:w="2181" w:type="dxa"/>
            <w:tcBorders>
              <w:top w:val="single" w:sz="4" w:space="0" w:color="auto"/>
              <w:left w:val="nil"/>
              <w:bottom w:val="single" w:sz="4" w:space="0" w:color="auto"/>
              <w:right w:val="single" w:sz="4" w:space="0" w:color="auto"/>
            </w:tcBorders>
            <w:shd w:val="clear" w:color="000000" w:fill="C4D79B"/>
            <w:noWrap/>
          </w:tcPr>
          <w:p w:rsidR="00E552A7" w:rsidRPr="007E7389" w:rsidRDefault="00E552A7" w:rsidP="00F274EC">
            <w:pPr>
              <w:rPr>
                <w:color w:val="000000"/>
              </w:rPr>
            </w:pPr>
            <w:r w:rsidRPr="007E7389">
              <w:rPr>
                <w:color w:val="000000"/>
              </w:rPr>
              <w:lastRenderedPageBreak/>
              <w:t xml:space="preserve">Default fund - members can also choose other options - including </w:t>
            </w:r>
            <w:r w:rsidRPr="007E7389">
              <w:rPr>
                <w:color w:val="000000"/>
              </w:rPr>
              <w:lastRenderedPageBreak/>
              <w:t>Ethical &amp; Sharia</w:t>
            </w:r>
          </w:p>
        </w:tc>
      </w:tr>
    </w:tbl>
    <w:p w:rsidR="00E552A7" w:rsidRPr="007E7389" w:rsidRDefault="00E552A7" w:rsidP="00E552A7">
      <w:pPr>
        <w:rPr>
          <w:b/>
        </w:rPr>
      </w:pPr>
    </w:p>
    <w:p w:rsidR="00E552A7" w:rsidRPr="007E7389" w:rsidRDefault="00E552A7" w:rsidP="00E552A7">
      <w:r w:rsidRPr="007E7389">
        <w:t xml:space="preserve">** The Edinburgh Card will not allow you to set up a direct debit. </w:t>
      </w:r>
    </w:p>
    <w:p w:rsidR="00E552A7" w:rsidRPr="007E7389" w:rsidRDefault="00E552A7" w:rsidP="00E552A7">
      <w:pPr>
        <w:rPr>
          <w:b/>
        </w:rPr>
      </w:pPr>
    </w:p>
    <w:p w:rsidR="00E552A7" w:rsidRPr="007E7389" w:rsidRDefault="00E552A7" w:rsidP="00E552A7">
      <w:r w:rsidRPr="007E7389">
        <w:rPr>
          <w:b/>
        </w:rPr>
        <w:t>NEST</w:t>
      </w:r>
      <w:r w:rsidRPr="007E7389">
        <w:t xml:space="preserve"> (National Employment Savings Trust) set up by the Government</w:t>
      </w:r>
    </w:p>
    <w:p w:rsidR="00E552A7" w:rsidRPr="007E7389" w:rsidRDefault="00E552A7" w:rsidP="00E552A7">
      <w:r w:rsidRPr="007E7389">
        <w:rPr>
          <w:b/>
        </w:rPr>
        <w:t>The People’s Pension</w:t>
      </w:r>
      <w:r w:rsidRPr="007E7389">
        <w:t xml:space="preserve"> is administered by B&amp;CE Financial Services – funds managed by Legal &amp; General Investment Management</w:t>
      </w:r>
    </w:p>
    <w:p w:rsidR="00E552A7" w:rsidRPr="007E7389" w:rsidRDefault="00E552A7" w:rsidP="00E552A7">
      <w:r w:rsidRPr="007E7389">
        <w:rPr>
          <w:b/>
        </w:rPr>
        <w:t>NOW Pensions</w:t>
      </w:r>
      <w:r w:rsidRPr="007E7389">
        <w:t xml:space="preserve"> is a subsidiary of one of Europe’s largest pension funds – Danish pension scheme ATP.</w:t>
      </w:r>
    </w:p>
    <w:p w:rsidR="00E552A7" w:rsidRPr="007E7389" w:rsidRDefault="00E552A7" w:rsidP="00E552A7">
      <w:proofErr w:type="spellStart"/>
      <w:r w:rsidRPr="007E7389">
        <w:rPr>
          <w:b/>
        </w:rPr>
        <w:t>GenLife</w:t>
      </w:r>
      <w:proofErr w:type="spellEnd"/>
      <w:r w:rsidRPr="007E7389">
        <w:t xml:space="preserve"> – funds managed by Legal &amp; General Investment Management </w:t>
      </w:r>
    </w:p>
    <w:p w:rsidR="00E552A7" w:rsidRPr="007E7389" w:rsidRDefault="00E552A7" w:rsidP="00E552A7"/>
    <w:p w:rsidR="00E552A7" w:rsidRPr="007E7389" w:rsidRDefault="00E552A7" w:rsidP="00E552A7">
      <w:r w:rsidRPr="007E7389">
        <w:t>All the above providers will</w:t>
      </w:r>
      <w:r w:rsidR="007E7389">
        <w:t>:</w:t>
      </w:r>
    </w:p>
    <w:p w:rsidR="00E552A7" w:rsidRPr="007E7389" w:rsidRDefault="00E552A7" w:rsidP="00E552A7">
      <w:pPr>
        <w:pStyle w:val="ListParagraph"/>
        <w:numPr>
          <w:ilvl w:val="0"/>
          <w:numId w:val="7"/>
        </w:numPr>
      </w:pPr>
      <w:proofErr w:type="gramStart"/>
      <w:r w:rsidRPr="007E7389">
        <w:t>accept</w:t>
      </w:r>
      <w:proofErr w:type="gramEnd"/>
      <w:r w:rsidRPr="007E7389">
        <w:t xml:space="preserve"> small employers like you into their auto enrolment pension schemes.  There may be others which you can look into if you wish.  The Pensions Regulator provides more information on how to choose a pension provider – </w:t>
      </w:r>
      <w:hyperlink r:id="rId9" w:history="1">
        <w:r w:rsidRPr="007E7389">
          <w:rPr>
            <w:rStyle w:val="Hyperlink"/>
          </w:rPr>
          <w:t>www.tpr.gov.uk/scheme</w:t>
        </w:r>
      </w:hyperlink>
    </w:p>
    <w:p w:rsidR="00E552A7" w:rsidRPr="007E7389" w:rsidRDefault="00E552A7" w:rsidP="00E552A7">
      <w:pPr>
        <w:pStyle w:val="ListParagraph"/>
        <w:numPr>
          <w:ilvl w:val="0"/>
          <w:numId w:val="7"/>
        </w:numPr>
      </w:pPr>
      <w:r w:rsidRPr="007E7389">
        <w:t>provide support re auto enrolment to you and your employees on-line or by telephone</w:t>
      </w:r>
    </w:p>
    <w:p w:rsidR="00E552A7" w:rsidRPr="007E7389" w:rsidRDefault="00E552A7" w:rsidP="00E552A7">
      <w:pPr>
        <w:pStyle w:val="ListParagraph"/>
        <w:numPr>
          <w:ilvl w:val="0"/>
          <w:numId w:val="7"/>
        </w:numPr>
      </w:pPr>
      <w:r w:rsidRPr="007E7389">
        <w:t>provide template documents to allow you to communicate with your staff (you have legal responsibilities to let your staff know when/if they will be auto enrolled onto your chosen pension scheme)</w:t>
      </w:r>
    </w:p>
    <w:p w:rsidR="00E552A7" w:rsidRPr="007E7389" w:rsidRDefault="00E552A7" w:rsidP="00E552A7">
      <w:pPr>
        <w:pStyle w:val="ListParagraph"/>
        <w:numPr>
          <w:ilvl w:val="0"/>
          <w:numId w:val="7"/>
        </w:numPr>
      </w:pPr>
      <w:r w:rsidRPr="007E7389">
        <w:t>require you to register/sign up with them on-line</w:t>
      </w:r>
    </w:p>
    <w:p w:rsidR="00E552A7" w:rsidRPr="007E7389" w:rsidRDefault="00E552A7" w:rsidP="00E552A7">
      <w:pPr>
        <w:pStyle w:val="ListParagraph"/>
        <w:numPr>
          <w:ilvl w:val="0"/>
          <w:numId w:val="7"/>
        </w:numPr>
      </w:pPr>
      <w:proofErr w:type="gramStart"/>
      <w:r w:rsidRPr="007E7389">
        <w:t>prefer</w:t>
      </w:r>
      <w:proofErr w:type="gramEnd"/>
      <w:r w:rsidRPr="007E7389">
        <w:t xml:space="preserve"> you to make payments due to them by signing a Direct Debit mandate – however NEST and </w:t>
      </w:r>
      <w:proofErr w:type="spellStart"/>
      <w:r w:rsidRPr="007E7389">
        <w:t>GenLife</w:t>
      </w:r>
      <w:proofErr w:type="spellEnd"/>
      <w:r w:rsidRPr="007E7389">
        <w:t xml:space="preserve"> will also accept payment via telephone/internet banking.</w:t>
      </w:r>
    </w:p>
    <w:p w:rsidR="00E552A7" w:rsidRPr="007E7389" w:rsidRDefault="00E552A7" w:rsidP="00E552A7"/>
    <w:p w:rsidR="00E552A7" w:rsidRDefault="00E552A7" w:rsidP="00E552A7">
      <w:pPr>
        <w:rPr>
          <w:rStyle w:val="Hyperlink"/>
        </w:rPr>
      </w:pPr>
      <w:r w:rsidRPr="007E7389">
        <w:t xml:space="preserve">LCIL cannot recommend any one provider.  We are not qualified to give you financial advice.  If you want independent financial advice you can contact </w:t>
      </w:r>
      <w:hyperlink r:id="rId10" w:history="1">
        <w:r w:rsidRPr="007E7389">
          <w:rPr>
            <w:rStyle w:val="Hyperlink"/>
          </w:rPr>
          <w:t>www.unbiased.co.uk</w:t>
        </w:r>
      </w:hyperlink>
      <w:r w:rsidRPr="007E7389">
        <w:t xml:space="preserve"> or </w:t>
      </w:r>
      <w:hyperlink r:id="rId11" w:history="1">
        <w:r w:rsidRPr="007E7389">
          <w:rPr>
            <w:rStyle w:val="Hyperlink"/>
          </w:rPr>
          <w:t>www.vouchedfor.co.uk/services/auto-enrolment/</w:t>
        </w:r>
      </w:hyperlink>
    </w:p>
    <w:p w:rsidR="007E7389" w:rsidRDefault="007E7389" w:rsidP="00E552A7">
      <w:pPr>
        <w:rPr>
          <w:rStyle w:val="Hyperlink"/>
        </w:rPr>
      </w:pPr>
    </w:p>
    <w:p w:rsidR="007E7389" w:rsidRDefault="007E7389" w:rsidP="007E7389">
      <w:r>
        <w:t>July 2015</w:t>
      </w:r>
    </w:p>
    <w:p w:rsidR="007E7389" w:rsidRDefault="007E7389" w:rsidP="007E7389">
      <w:r>
        <w:t xml:space="preserve"> </w:t>
      </w:r>
    </w:p>
    <w:p w:rsidR="007E7389" w:rsidRPr="007E7389" w:rsidRDefault="007E7389" w:rsidP="007E7389">
      <w:pPr>
        <w:rPr>
          <w:b/>
        </w:rPr>
      </w:pPr>
      <w:r w:rsidRPr="007E7389">
        <w:rPr>
          <w:b/>
        </w:rPr>
        <w:t xml:space="preserve">Contact details </w:t>
      </w:r>
    </w:p>
    <w:p w:rsidR="007E7389" w:rsidRDefault="007E7389" w:rsidP="007E7389">
      <w:r>
        <w:t>Tel: 0131 475 2350 Email: lcil@lothiancil.org.uk Website: www.lothiancil.org.uk</w:t>
      </w:r>
    </w:p>
    <w:p w:rsidR="007E7389" w:rsidRPr="007E7389" w:rsidRDefault="007E7389" w:rsidP="007E7389">
      <w:r>
        <w:t>Copyright © 201</w:t>
      </w:r>
      <w:r>
        <w:t>5</w:t>
      </w:r>
      <w:r>
        <w:t xml:space="preserve"> LCiL. All Rights reserved.</w:t>
      </w:r>
    </w:p>
    <w:sectPr w:rsidR="007E7389" w:rsidRPr="007E7389" w:rsidSect="00D709C2">
      <w:headerReference w:type="default" r:id="rId12"/>
      <w:footerReference w:type="default" r:id="rId13"/>
      <w:pgSz w:w="11906" w:h="16838"/>
      <w:pgMar w:top="720" w:right="720" w:bottom="720" w:left="720" w:header="709"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5FE" w:rsidRDefault="00DC35FE" w:rsidP="00DC35FE">
      <w:r>
        <w:separator/>
      </w:r>
    </w:p>
  </w:endnote>
  <w:endnote w:type="continuationSeparator" w:id="0">
    <w:p w:rsidR="00DC35FE" w:rsidRDefault="00DC35FE" w:rsidP="00DC3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389" w:rsidRDefault="007E7389" w:rsidP="007E7389">
    <w:pPr>
      <w:spacing w:after="10"/>
      <w:rPr>
        <w:sz w:val="20"/>
        <w:szCs w:val="20"/>
        <w:lang w:val="en"/>
      </w:rPr>
    </w:pPr>
    <w:r w:rsidRPr="0085233F">
      <w:rPr>
        <w:sz w:val="20"/>
        <w:szCs w:val="20"/>
        <w:lang w:val="en"/>
      </w:rPr>
      <w:t xml:space="preserve">Lothian Centre for Inclusive Living (LCiL) is a Company Limited by Guarantee. </w:t>
    </w:r>
    <w:r w:rsidRPr="00A300A2">
      <w:rPr>
        <w:sz w:val="20"/>
        <w:szCs w:val="20"/>
        <w:lang w:val="en"/>
      </w:rPr>
      <w:t>Registered in Scotland 129392. Accepted by the HMRC as a Charity SC/017954</w:t>
    </w:r>
  </w:p>
  <w:p w:rsidR="007E7389" w:rsidRPr="0085233F" w:rsidRDefault="007E7389" w:rsidP="007E7389">
    <w:pPr>
      <w:spacing w:after="10"/>
    </w:pPr>
    <w:r>
      <w:rPr>
        <w:sz w:val="20"/>
        <w:szCs w:val="20"/>
      </w:rPr>
      <w:t xml:space="preserve">Postal address for main office: LCiL, </w:t>
    </w:r>
    <w:r w:rsidRPr="0085233F">
      <w:rPr>
        <w:sz w:val="20"/>
        <w:szCs w:val="20"/>
      </w:rPr>
      <w:t>Norton Park, 57 Albion Road, Edinburgh</w:t>
    </w:r>
    <w:r>
      <w:rPr>
        <w:sz w:val="20"/>
        <w:szCs w:val="20"/>
      </w:rPr>
      <w:t xml:space="preserve">, </w:t>
    </w:r>
    <w:r w:rsidRPr="0085233F">
      <w:rPr>
        <w:sz w:val="20"/>
        <w:szCs w:val="20"/>
      </w:rPr>
      <w:t>EH7 5QY</w:t>
    </w:r>
    <w:r w:rsidRPr="00703C80">
      <w:t xml:space="preserve"> </w:t>
    </w:r>
  </w:p>
  <w:p w:rsidR="007E7389" w:rsidRDefault="007E7389">
    <w:pPr>
      <w:pStyle w:val="Footer"/>
    </w:pPr>
  </w:p>
  <w:p w:rsidR="007E7389" w:rsidRPr="007E7389" w:rsidRDefault="007E7389" w:rsidP="007E7389">
    <w:pPr>
      <w:pStyle w:val="Footer"/>
      <w:tabs>
        <w:tab w:val="clear" w:pos="9026"/>
        <w:tab w:val="left" w:pos="4513"/>
      </w:tabs>
      <w:rPr>
        <w:b/>
      </w:rPr>
    </w:pPr>
    <w:r w:rsidRPr="007E7389">
      <w:rPr>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5FE" w:rsidRDefault="00DC35FE" w:rsidP="00DC35FE">
      <w:r>
        <w:separator/>
      </w:r>
    </w:p>
  </w:footnote>
  <w:footnote w:type="continuationSeparator" w:id="0">
    <w:p w:rsidR="00DC35FE" w:rsidRDefault="00DC35FE" w:rsidP="00DC3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2A7" w:rsidRDefault="007E7389" w:rsidP="00D709C2">
    <w:pPr>
      <w:pStyle w:val="Header"/>
      <w:tabs>
        <w:tab w:val="clear" w:pos="4513"/>
        <w:tab w:val="clear" w:pos="9026"/>
        <w:tab w:val="left" w:pos="3684"/>
      </w:tabs>
    </w:pPr>
    <w:r>
      <w:rPr>
        <w:rFonts w:ascii="Verdana" w:hAnsi="Verdana"/>
        <w:b/>
        <w:noProof/>
        <w:sz w:val="56"/>
        <w:szCs w:val="56"/>
        <w:lang w:eastAsia="en-GB"/>
      </w:rPr>
      <w:drawing>
        <wp:anchor distT="0" distB="0" distL="114300" distR="114300" simplePos="0" relativeHeight="251659264" behindDoc="1" locked="0" layoutInCell="1" allowOverlap="1" wp14:anchorId="527D4D1D" wp14:editId="2C0445AD">
          <wp:simplePos x="0" y="0"/>
          <wp:positionH relativeFrom="column">
            <wp:posOffset>2744470</wp:posOffset>
          </wp:positionH>
          <wp:positionV relativeFrom="paragraph">
            <wp:posOffset>-145415</wp:posOffset>
          </wp:positionV>
          <wp:extent cx="937260" cy="906780"/>
          <wp:effectExtent l="0" t="0" r="0" b="7620"/>
          <wp:wrapTight wrapText="bothSides">
            <wp:wrapPolygon edited="0">
              <wp:start x="0" y="0"/>
              <wp:lineTo x="0" y="21328"/>
              <wp:lineTo x="21073" y="21328"/>
              <wp:lineTo x="21073" y="0"/>
              <wp:lineTo x="0" y="0"/>
            </wp:wrapPolygon>
          </wp:wrapTight>
          <wp:docPr id="5" name="Picture 5" descr="Pay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yro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2A7">
      <w:rPr>
        <w:rFonts w:ascii="Verdana" w:hAnsi="Verdana"/>
        <w:b/>
        <w:noProof/>
        <w:sz w:val="56"/>
        <w:szCs w:val="56"/>
        <w:lang w:eastAsia="en-GB"/>
      </w:rPr>
      <w:drawing>
        <wp:anchor distT="0" distB="0" distL="114300" distR="114300" simplePos="0" relativeHeight="251658240" behindDoc="1" locked="0" layoutInCell="1" allowOverlap="1" wp14:anchorId="3AF1C627" wp14:editId="684BAADF">
          <wp:simplePos x="0" y="0"/>
          <wp:positionH relativeFrom="column">
            <wp:posOffset>4800600</wp:posOffset>
          </wp:positionH>
          <wp:positionV relativeFrom="paragraph">
            <wp:posOffset>-89061</wp:posOffset>
          </wp:positionV>
          <wp:extent cx="1379220" cy="850426"/>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9220" cy="850426"/>
                  </a:xfrm>
                  <a:prstGeom prst="rect">
                    <a:avLst/>
                  </a:prstGeom>
                  <a:noFill/>
                  <a:ln>
                    <a:noFill/>
                  </a:ln>
                </pic:spPr>
              </pic:pic>
            </a:graphicData>
          </a:graphic>
          <wp14:sizeRelH relativeFrom="page">
            <wp14:pctWidth>0</wp14:pctWidth>
          </wp14:sizeRelH>
          <wp14:sizeRelV relativeFrom="page">
            <wp14:pctHeight>0</wp14:pctHeight>
          </wp14:sizeRelV>
        </wp:anchor>
      </w:drawing>
    </w:r>
    <w:r w:rsidR="00E552A7" w:rsidRPr="002247A0">
      <w:rPr>
        <w:rFonts w:ascii="Verdana" w:hAnsi="Verdana"/>
        <w:b/>
        <w:sz w:val="56"/>
        <w:szCs w:val="56"/>
      </w:rPr>
      <w:t>Factsheet</w:t>
    </w:r>
    <w:r w:rsidR="00D709C2">
      <w:rPr>
        <w:rFonts w:ascii="Verdana" w:hAnsi="Verdana"/>
        <w:b/>
        <w:sz w:val="56"/>
        <w:szCs w:val="5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0970"/>
    <w:multiLevelType w:val="hybridMultilevel"/>
    <w:tmpl w:val="B2587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8D450E5"/>
    <w:multiLevelType w:val="hybridMultilevel"/>
    <w:tmpl w:val="39EA40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8691CB8"/>
    <w:multiLevelType w:val="hybridMultilevel"/>
    <w:tmpl w:val="F060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AB1024"/>
    <w:multiLevelType w:val="hybridMultilevel"/>
    <w:tmpl w:val="ADE6E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5FA0E4E"/>
    <w:multiLevelType w:val="hybridMultilevel"/>
    <w:tmpl w:val="D02E0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6ED79ED"/>
    <w:multiLevelType w:val="hybridMultilevel"/>
    <w:tmpl w:val="B1F80B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2440DA3"/>
    <w:multiLevelType w:val="hybridMultilevel"/>
    <w:tmpl w:val="A4C6B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D34"/>
    <w:rsid w:val="00125D5D"/>
    <w:rsid w:val="002B2CAF"/>
    <w:rsid w:val="002C101C"/>
    <w:rsid w:val="002E3F40"/>
    <w:rsid w:val="003C2A23"/>
    <w:rsid w:val="003D44EA"/>
    <w:rsid w:val="004F1BF6"/>
    <w:rsid w:val="005E02E6"/>
    <w:rsid w:val="006078C4"/>
    <w:rsid w:val="00743EC0"/>
    <w:rsid w:val="007A7E61"/>
    <w:rsid w:val="007E7389"/>
    <w:rsid w:val="00823454"/>
    <w:rsid w:val="008D5B26"/>
    <w:rsid w:val="00961685"/>
    <w:rsid w:val="009D46B5"/>
    <w:rsid w:val="00AF05DC"/>
    <w:rsid w:val="00BA19A8"/>
    <w:rsid w:val="00C55FDE"/>
    <w:rsid w:val="00C854AA"/>
    <w:rsid w:val="00D709C2"/>
    <w:rsid w:val="00DC35FE"/>
    <w:rsid w:val="00E552A7"/>
    <w:rsid w:val="00EA5D34"/>
    <w:rsid w:val="00F42CD3"/>
    <w:rsid w:val="00FF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8"/>
        <w:szCs w:val="28"/>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D34"/>
    <w:pPr>
      <w:ind w:left="720"/>
      <w:contextualSpacing/>
    </w:pPr>
  </w:style>
  <w:style w:type="table" w:styleId="TableGrid">
    <w:name w:val="Table Grid"/>
    <w:basedOn w:val="TableNormal"/>
    <w:uiPriority w:val="59"/>
    <w:rsid w:val="00607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8C4"/>
    <w:rPr>
      <w:rFonts w:ascii="Tahoma" w:hAnsi="Tahoma" w:cs="Tahoma"/>
      <w:sz w:val="16"/>
      <w:szCs w:val="16"/>
    </w:rPr>
  </w:style>
  <w:style w:type="character" w:customStyle="1" w:styleId="BalloonTextChar">
    <w:name w:val="Balloon Text Char"/>
    <w:basedOn w:val="DefaultParagraphFont"/>
    <w:link w:val="BalloonText"/>
    <w:uiPriority w:val="99"/>
    <w:semiHidden/>
    <w:rsid w:val="006078C4"/>
    <w:rPr>
      <w:rFonts w:ascii="Tahoma" w:hAnsi="Tahoma" w:cs="Tahoma"/>
      <w:sz w:val="16"/>
      <w:szCs w:val="16"/>
    </w:rPr>
  </w:style>
  <w:style w:type="paragraph" w:styleId="Header">
    <w:name w:val="header"/>
    <w:basedOn w:val="Normal"/>
    <w:link w:val="HeaderChar"/>
    <w:uiPriority w:val="99"/>
    <w:unhideWhenUsed/>
    <w:rsid w:val="00DC35FE"/>
    <w:pPr>
      <w:tabs>
        <w:tab w:val="center" w:pos="4513"/>
        <w:tab w:val="right" w:pos="9026"/>
      </w:tabs>
    </w:pPr>
  </w:style>
  <w:style w:type="character" w:customStyle="1" w:styleId="HeaderChar">
    <w:name w:val="Header Char"/>
    <w:basedOn w:val="DefaultParagraphFont"/>
    <w:link w:val="Header"/>
    <w:uiPriority w:val="99"/>
    <w:rsid w:val="00DC35FE"/>
  </w:style>
  <w:style w:type="paragraph" w:styleId="Footer">
    <w:name w:val="footer"/>
    <w:basedOn w:val="Normal"/>
    <w:link w:val="FooterChar"/>
    <w:uiPriority w:val="99"/>
    <w:unhideWhenUsed/>
    <w:rsid w:val="00DC35FE"/>
    <w:pPr>
      <w:tabs>
        <w:tab w:val="center" w:pos="4513"/>
        <w:tab w:val="right" w:pos="9026"/>
      </w:tabs>
    </w:pPr>
  </w:style>
  <w:style w:type="character" w:customStyle="1" w:styleId="FooterChar">
    <w:name w:val="Footer Char"/>
    <w:basedOn w:val="DefaultParagraphFont"/>
    <w:link w:val="Footer"/>
    <w:uiPriority w:val="99"/>
    <w:rsid w:val="00DC35FE"/>
  </w:style>
  <w:style w:type="character" w:styleId="Hyperlink">
    <w:name w:val="Hyperlink"/>
    <w:basedOn w:val="DefaultParagraphFont"/>
    <w:uiPriority w:val="99"/>
    <w:unhideWhenUsed/>
    <w:rsid w:val="00DC35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8"/>
        <w:szCs w:val="28"/>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D34"/>
    <w:pPr>
      <w:ind w:left="720"/>
      <w:contextualSpacing/>
    </w:pPr>
  </w:style>
  <w:style w:type="table" w:styleId="TableGrid">
    <w:name w:val="Table Grid"/>
    <w:basedOn w:val="TableNormal"/>
    <w:uiPriority w:val="59"/>
    <w:rsid w:val="00607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8C4"/>
    <w:rPr>
      <w:rFonts w:ascii="Tahoma" w:hAnsi="Tahoma" w:cs="Tahoma"/>
      <w:sz w:val="16"/>
      <w:szCs w:val="16"/>
    </w:rPr>
  </w:style>
  <w:style w:type="character" w:customStyle="1" w:styleId="BalloonTextChar">
    <w:name w:val="Balloon Text Char"/>
    <w:basedOn w:val="DefaultParagraphFont"/>
    <w:link w:val="BalloonText"/>
    <w:uiPriority w:val="99"/>
    <w:semiHidden/>
    <w:rsid w:val="006078C4"/>
    <w:rPr>
      <w:rFonts w:ascii="Tahoma" w:hAnsi="Tahoma" w:cs="Tahoma"/>
      <w:sz w:val="16"/>
      <w:szCs w:val="16"/>
    </w:rPr>
  </w:style>
  <w:style w:type="paragraph" w:styleId="Header">
    <w:name w:val="header"/>
    <w:basedOn w:val="Normal"/>
    <w:link w:val="HeaderChar"/>
    <w:uiPriority w:val="99"/>
    <w:unhideWhenUsed/>
    <w:rsid w:val="00DC35FE"/>
    <w:pPr>
      <w:tabs>
        <w:tab w:val="center" w:pos="4513"/>
        <w:tab w:val="right" w:pos="9026"/>
      </w:tabs>
    </w:pPr>
  </w:style>
  <w:style w:type="character" w:customStyle="1" w:styleId="HeaderChar">
    <w:name w:val="Header Char"/>
    <w:basedOn w:val="DefaultParagraphFont"/>
    <w:link w:val="Header"/>
    <w:uiPriority w:val="99"/>
    <w:rsid w:val="00DC35FE"/>
  </w:style>
  <w:style w:type="paragraph" w:styleId="Footer">
    <w:name w:val="footer"/>
    <w:basedOn w:val="Normal"/>
    <w:link w:val="FooterChar"/>
    <w:uiPriority w:val="99"/>
    <w:unhideWhenUsed/>
    <w:rsid w:val="00DC35FE"/>
    <w:pPr>
      <w:tabs>
        <w:tab w:val="center" w:pos="4513"/>
        <w:tab w:val="right" w:pos="9026"/>
      </w:tabs>
    </w:pPr>
  </w:style>
  <w:style w:type="character" w:customStyle="1" w:styleId="FooterChar">
    <w:name w:val="Footer Char"/>
    <w:basedOn w:val="DefaultParagraphFont"/>
    <w:link w:val="Footer"/>
    <w:uiPriority w:val="99"/>
    <w:rsid w:val="00DC35FE"/>
  </w:style>
  <w:style w:type="character" w:styleId="Hyperlink">
    <w:name w:val="Hyperlink"/>
    <w:basedOn w:val="DefaultParagraphFont"/>
    <w:uiPriority w:val="99"/>
    <w:unhideWhenUsed/>
    <w:rsid w:val="00DC3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9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uchedfor.co.uk/services/auto-enrolmen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unbiased.co.uk" TargetMode="External"/><Relationship Id="rId4" Type="http://schemas.microsoft.com/office/2007/relationships/stylesWithEffects" Target="stylesWithEffects.xml"/><Relationship Id="rId9" Type="http://schemas.openxmlformats.org/officeDocument/2006/relationships/hyperlink" Target="http://www.tpr.gov.uk/schem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A8A2-4D63-497A-8525-6E8FA6A2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Main</dc:creator>
  <cp:lastModifiedBy>Kirstie Henderson</cp:lastModifiedBy>
  <cp:revision>3</cp:revision>
  <cp:lastPrinted>2015-02-27T17:00:00Z</cp:lastPrinted>
  <dcterms:created xsi:type="dcterms:W3CDTF">2015-07-14T14:29:00Z</dcterms:created>
  <dcterms:modified xsi:type="dcterms:W3CDTF">2015-07-14T14:30:00Z</dcterms:modified>
</cp:coreProperties>
</file>